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CD" w:rsidRDefault="002304CD">
      <w:pPr>
        <w:pStyle w:val="Default"/>
        <w:jc w:val="center"/>
        <w:textAlignment w:val="auto"/>
        <w:rPr>
          <w:rFonts w:ascii="Tahoma" w:hAnsi="Tahoma" w:cs="Tahoma"/>
          <w:sz w:val="28"/>
          <w:szCs w:val="28"/>
        </w:rPr>
      </w:pPr>
      <w:bookmarkStart w:id="0" w:name="_GoBack"/>
      <w:bookmarkEnd w:id="0"/>
    </w:p>
    <w:p w:rsidR="002304CD" w:rsidRDefault="00AC13F9">
      <w:pPr>
        <w:pStyle w:val="Default"/>
        <w:ind w:left="567" w:right="554"/>
        <w:jc w:val="center"/>
        <w:textAlignment w:val="auto"/>
      </w:pPr>
      <w:r>
        <w:rPr>
          <w:rFonts w:ascii="Tahoma" w:hAnsi="Tahoma" w:cs="Tahoma"/>
          <w:b/>
          <w:sz w:val="28"/>
          <w:szCs w:val="28"/>
        </w:rPr>
        <w:t>RESOLUCION –</w:t>
      </w:r>
      <w:proofErr w:type="spellStart"/>
      <w:r>
        <w:rPr>
          <w:rFonts w:ascii="Tahoma" w:hAnsi="Tahoma" w:cs="Tahoma"/>
          <w:b/>
          <w:sz w:val="28"/>
          <w:szCs w:val="28"/>
        </w:rPr>
        <w:t>MdeP</w:t>
      </w:r>
      <w:proofErr w:type="spellEnd"/>
      <w:r>
        <w:rPr>
          <w:rFonts w:ascii="Tahoma" w:hAnsi="Tahoma" w:cs="Tahoma"/>
          <w:b/>
          <w:sz w:val="28"/>
          <w:szCs w:val="28"/>
        </w:rPr>
        <w:t>- Nº 559-2014</w:t>
      </w:r>
    </w:p>
    <w:p w:rsidR="002304CD" w:rsidRDefault="00AC13F9">
      <w:pPr>
        <w:pStyle w:val="Default"/>
        <w:ind w:left="567" w:right="554"/>
        <w:jc w:val="center"/>
        <w:textAlignment w:val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Establece el procedimiento para la determinación y cobro de expensas </w:t>
      </w:r>
    </w:p>
    <w:p w:rsidR="002304CD" w:rsidRDefault="00AC13F9">
      <w:pPr>
        <w:pStyle w:val="Default"/>
        <w:ind w:left="567" w:right="554"/>
        <w:jc w:val="center"/>
        <w:textAlignment w:val="auto"/>
      </w:pPr>
      <w:proofErr w:type="gramStart"/>
      <w:r>
        <w:rPr>
          <w:rFonts w:ascii="Tahoma" w:hAnsi="Tahoma" w:cs="Tahoma"/>
          <w:b/>
        </w:rPr>
        <w:t>en</w:t>
      </w:r>
      <w:proofErr w:type="gramEnd"/>
      <w:r>
        <w:rPr>
          <w:rFonts w:ascii="Tahoma" w:hAnsi="Tahoma" w:cs="Tahoma"/>
          <w:b/>
        </w:rPr>
        <w:t xml:space="preserve"> concepto de Servicio de Vigilancia y Seguridad en el Parque Industrial</w:t>
      </w:r>
    </w:p>
    <w:p w:rsidR="002304CD" w:rsidRDefault="002304CD">
      <w:pPr>
        <w:pStyle w:val="Default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2304CD" w:rsidRDefault="00AC13F9">
      <w:pPr>
        <w:pStyle w:val="Default"/>
        <w:tabs>
          <w:tab w:val="center" w:pos="11340"/>
        </w:tabs>
        <w:ind w:left="567" w:right="554"/>
        <w:jc w:val="right"/>
        <w:textAlignment w:val="auto"/>
      </w:pPr>
      <w:r>
        <w:rPr>
          <w:rFonts w:ascii="Tahoma" w:hAnsi="Tahoma" w:cs="Tahoma"/>
          <w:i/>
          <w:iCs/>
        </w:rPr>
        <w:t xml:space="preserve">Estado </w:t>
      </w:r>
      <w:r>
        <w:rPr>
          <w:rFonts w:ascii="Tahoma" w:hAnsi="Tahoma" w:cs="Tahoma"/>
          <w:i/>
          <w:iCs/>
        </w:rPr>
        <w:t xml:space="preserve">de la norma: </w:t>
      </w:r>
      <w:r>
        <w:rPr>
          <w:rFonts w:ascii="Tahoma" w:hAnsi="Tahoma" w:cs="Tahoma"/>
          <w:b/>
          <w:bCs/>
          <w:i/>
          <w:iCs/>
          <w:color w:val="FF3333"/>
        </w:rPr>
        <w:t>VIGENTE.-</w:t>
      </w:r>
    </w:p>
    <w:p w:rsidR="002304CD" w:rsidRDefault="00AC13F9">
      <w:pPr>
        <w:pStyle w:val="Default"/>
        <w:tabs>
          <w:tab w:val="center" w:pos="11340"/>
        </w:tabs>
        <w:ind w:left="567" w:right="554"/>
        <w:jc w:val="right"/>
        <w:textAlignment w:val="auto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>Publicado en B.O. Nº 3116 del 29-08-14.-</w:t>
      </w:r>
    </w:p>
    <w:p w:rsidR="002304CD" w:rsidRDefault="00AC13F9">
      <w:pPr>
        <w:pStyle w:val="Default"/>
        <w:tabs>
          <w:tab w:val="center" w:pos="11340"/>
        </w:tabs>
        <w:ind w:left="567" w:right="554"/>
        <w:jc w:val="right"/>
        <w:textAlignment w:val="auto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>Dictado el 21-08-14.-</w:t>
      </w:r>
    </w:p>
    <w:p w:rsidR="002304CD" w:rsidRDefault="00AC13F9">
      <w:pPr>
        <w:pStyle w:val="Default"/>
        <w:tabs>
          <w:tab w:val="center" w:pos="11340"/>
        </w:tabs>
        <w:ind w:left="567" w:right="554"/>
        <w:jc w:val="right"/>
        <w:textAlignment w:val="auto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>Operador del Digesto: Y.A.C.-</w:t>
      </w:r>
    </w:p>
    <w:p w:rsidR="002304CD" w:rsidRDefault="002304CD">
      <w:pPr>
        <w:pStyle w:val="Default"/>
        <w:jc w:val="right"/>
        <w:textAlignment w:val="auto"/>
        <w:rPr>
          <w:rFonts w:ascii="Tahoma" w:hAnsi="Tahoma" w:cs="Tahoma"/>
          <w:sz w:val="22"/>
          <w:szCs w:val="22"/>
        </w:rPr>
      </w:pPr>
    </w:p>
    <w:p w:rsidR="002304CD" w:rsidRDefault="00AC13F9">
      <w:pPr>
        <w:pStyle w:val="Default"/>
        <w:ind w:left="567" w:right="554"/>
        <w:jc w:val="both"/>
        <w:textAlignment w:val="auto"/>
      </w:pPr>
      <w:r>
        <w:rPr>
          <w:rFonts w:ascii="Tahoma" w:hAnsi="Tahoma" w:cs="Tahoma"/>
          <w:b/>
          <w:sz w:val="22"/>
          <w:szCs w:val="22"/>
        </w:rPr>
        <w:t xml:space="preserve">Artículo 1º.- </w:t>
      </w:r>
      <w:r>
        <w:rPr>
          <w:rFonts w:ascii="Tahoma" w:hAnsi="Tahoma" w:cs="Tahoma"/>
          <w:sz w:val="22"/>
          <w:szCs w:val="22"/>
        </w:rPr>
        <w:t>Establécese el procedimiento para la determinación y cobro de Expensas en concepto de Servicio de Vigilancia y Seguridad en e</w:t>
      </w:r>
      <w:r>
        <w:rPr>
          <w:rFonts w:ascii="Tahoma" w:hAnsi="Tahoma" w:cs="Tahoma"/>
          <w:sz w:val="22"/>
          <w:szCs w:val="22"/>
        </w:rPr>
        <w:t>l Parque Industrial con Actividades de Comercio y Servicios vinculados a la Producción Industrial de Santa Rosa.-</w:t>
      </w:r>
    </w:p>
    <w:p w:rsidR="002304CD" w:rsidRDefault="002304CD">
      <w:pPr>
        <w:pStyle w:val="Default"/>
        <w:ind w:left="567" w:right="554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2304CD" w:rsidRDefault="00AC13F9">
      <w:pPr>
        <w:pStyle w:val="Default"/>
        <w:ind w:left="567" w:right="554"/>
        <w:jc w:val="both"/>
      </w:pPr>
      <w:r>
        <w:rPr>
          <w:rFonts w:ascii="Tahoma" w:hAnsi="Tahoma" w:cs="Tahoma"/>
          <w:b/>
          <w:sz w:val="22"/>
          <w:szCs w:val="22"/>
        </w:rPr>
        <w:t xml:space="preserve">Artículo </w:t>
      </w:r>
      <w:r>
        <w:rPr>
          <w:rFonts w:ascii="Tahoma" w:hAnsi="Tahoma"/>
          <w:b/>
          <w:sz w:val="22"/>
          <w:szCs w:val="22"/>
        </w:rPr>
        <w:t xml:space="preserve">2º.- </w:t>
      </w:r>
      <w:proofErr w:type="spellStart"/>
      <w:r>
        <w:rPr>
          <w:rFonts w:ascii="Tahoma" w:hAnsi="Tahoma"/>
          <w:sz w:val="22"/>
          <w:szCs w:val="22"/>
        </w:rPr>
        <w:t>Apruébase</w:t>
      </w:r>
      <w:proofErr w:type="spellEnd"/>
      <w:r>
        <w:rPr>
          <w:rFonts w:ascii="Tahoma" w:hAnsi="Tahoma"/>
          <w:sz w:val="22"/>
          <w:szCs w:val="22"/>
        </w:rPr>
        <w:t xml:space="preserve"> el valor inicial de “X” previsto en el </w:t>
      </w:r>
      <w:hyperlink r:id="rId8" w:history="1">
        <w:r>
          <w:rPr>
            <w:rStyle w:val="Hipervnculo"/>
            <w:rFonts w:ascii="Tahoma" w:hAnsi="Tahoma"/>
            <w:sz w:val="22"/>
            <w:szCs w:val="22"/>
          </w:rPr>
          <w:t xml:space="preserve">artículo 29 de la Resolución Nº </w:t>
        </w:r>
        <w:r>
          <w:rPr>
            <w:rStyle w:val="Hipervnculo"/>
            <w:rFonts w:ascii="Tahoma" w:hAnsi="Tahoma"/>
            <w:sz w:val="22"/>
            <w:szCs w:val="22"/>
          </w:rPr>
          <w:t>548/12</w:t>
        </w:r>
      </w:hyperlink>
      <w:r>
        <w:rPr>
          <w:rFonts w:ascii="Tahoma" w:hAnsi="Tahoma"/>
          <w:sz w:val="22"/>
          <w:szCs w:val="22"/>
        </w:rPr>
        <w:t>, fijado por la Comisión Administradora del Parque Industrial en $ 220,00.-</w:t>
      </w:r>
    </w:p>
    <w:p w:rsidR="002304CD" w:rsidRDefault="00AC13F9">
      <w:pPr>
        <w:pStyle w:val="Default"/>
        <w:ind w:left="567" w:right="554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Dicho valor podrá modificarse en las siguientes circunstancias:</w:t>
      </w:r>
    </w:p>
    <w:p w:rsidR="002304CD" w:rsidRDefault="00AC13F9">
      <w:pPr>
        <w:pStyle w:val="Default"/>
        <w:ind w:left="567" w:right="554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a) Por variación en el importe mensual a abonar a la empresa adjudicataria, en cumplimiento de las condiciones</w:t>
      </w:r>
      <w:r>
        <w:rPr>
          <w:rFonts w:ascii="Tahoma" w:hAnsi="Tahoma"/>
          <w:sz w:val="22"/>
          <w:szCs w:val="22"/>
        </w:rPr>
        <w:t xml:space="preserve"> de adjudicación del servicio,</w:t>
      </w:r>
    </w:p>
    <w:p w:rsidR="002304CD" w:rsidRDefault="00AC13F9">
      <w:pPr>
        <w:pStyle w:val="Default"/>
        <w:ind w:left="567" w:right="554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b) Por Incorporación de nuevos usuarios,</w:t>
      </w:r>
    </w:p>
    <w:p w:rsidR="002304CD" w:rsidRDefault="00AC13F9">
      <w:pPr>
        <w:pStyle w:val="Default"/>
        <w:ind w:left="567" w:right="554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c) Por cambio de la condición de uso y ocupación de los usuarios actuales, fehacientemente constatado por la Dirección de Industria.-</w:t>
      </w:r>
    </w:p>
    <w:p w:rsidR="002304CD" w:rsidRDefault="002304CD">
      <w:pPr>
        <w:pStyle w:val="Default"/>
        <w:ind w:left="567" w:right="554"/>
        <w:jc w:val="both"/>
        <w:rPr>
          <w:rFonts w:ascii="Tahoma" w:hAnsi="Tahoma"/>
          <w:sz w:val="22"/>
          <w:szCs w:val="22"/>
        </w:rPr>
      </w:pPr>
    </w:p>
    <w:p w:rsidR="002304CD" w:rsidRDefault="00AC13F9">
      <w:pPr>
        <w:pStyle w:val="Default"/>
        <w:ind w:left="567" w:right="554"/>
        <w:jc w:val="both"/>
      </w:pPr>
      <w:r>
        <w:rPr>
          <w:rFonts w:ascii="Tahoma" w:hAnsi="Tahoma" w:cs="Tahoma"/>
          <w:b/>
          <w:sz w:val="22"/>
          <w:szCs w:val="22"/>
        </w:rPr>
        <w:t>Artículo</w:t>
      </w:r>
      <w:r>
        <w:rPr>
          <w:rFonts w:ascii="Tahoma" w:hAnsi="Tahoma"/>
          <w:b/>
          <w:sz w:val="22"/>
          <w:szCs w:val="22"/>
        </w:rPr>
        <w:t xml:space="preserve"> 3º.- </w:t>
      </w:r>
      <w:r>
        <w:rPr>
          <w:rFonts w:ascii="Tahoma" w:hAnsi="Tahoma"/>
          <w:sz w:val="22"/>
          <w:szCs w:val="22"/>
        </w:rPr>
        <w:t xml:space="preserve">La Dirección de Industria, emitirá </w:t>
      </w:r>
      <w:r>
        <w:rPr>
          <w:rFonts w:ascii="Tahoma" w:hAnsi="Tahoma"/>
          <w:sz w:val="22"/>
          <w:szCs w:val="22"/>
        </w:rPr>
        <w:t>al día 10 de cada mes, un informe sobre la situación de la totalidad de los predios, a los efectos previstos en el artículo precedente.-</w:t>
      </w:r>
    </w:p>
    <w:p w:rsidR="002304CD" w:rsidRDefault="00AC13F9">
      <w:pPr>
        <w:pStyle w:val="Default"/>
        <w:ind w:left="567" w:right="554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En caso de configurarse situaciones que impliquen la modificación del valor “X”, se tratara el mismo en Reunión de Comi</w:t>
      </w:r>
      <w:r>
        <w:rPr>
          <w:rFonts w:ascii="Tahoma" w:hAnsi="Tahoma"/>
          <w:sz w:val="22"/>
          <w:szCs w:val="22"/>
        </w:rPr>
        <w:t>sión Administradora para que proceda a la fijación del nuevo valor, el que comenzara a regir para el mes calendario siguiente al de dicha determinación.-</w:t>
      </w:r>
    </w:p>
    <w:p w:rsidR="002304CD" w:rsidRDefault="002304CD">
      <w:pPr>
        <w:pStyle w:val="Default"/>
        <w:ind w:left="567" w:right="554"/>
        <w:jc w:val="both"/>
        <w:rPr>
          <w:rFonts w:ascii="Tahoma" w:hAnsi="Tahoma"/>
          <w:sz w:val="22"/>
          <w:szCs w:val="22"/>
        </w:rPr>
      </w:pPr>
    </w:p>
    <w:p w:rsidR="002304CD" w:rsidRDefault="00AC13F9">
      <w:pPr>
        <w:pStyle w:val="Default"/>
        <w:ind w:left="567" w:right="554"/>
        <w:jc w:val="both"/>
      </w:pPr>
      <w:r>
        <w:rPr>
          <w:rFonts w:ascii="Tahoma" w:hAnsi="Tahoma" w:cs="Tahoma"/>
          <w:b/>
          <w:sz w:val="22"/>
          <w:szCs w:val="22"/>
        </w:rPr>
        <w:t xml:space="preserve">Artículo </w:t>
      </w:r>
      <w:r>
        <w:rPr>
          <w:rFonts w:ascii="Tahoma" w:hAnsi="Tahoma"/>
          <w:b/>
          <w:sz w:val="22"/>
          <w:szCs w:val="22"/>
        </w:rPr>
        <w:t xml:space="preserve">4º.- </w:t>
      </w:r>
      <w:r>
        <w:rPr>
          <w:rFonts w:ascii="Tahoma" w:hAnsi="Tahoma"/>
          <w:sz w:val="22"/>
          <w:szCs w:val="22"/>
        </w:rPr>
        <w:t xml:space="preserve">El plazo para el pago de las expresas se extiende hasta el día 20 del mes posterior al </w:t>
      </w:r>
      <w:r>
        <w:rPr>
          <w:rFonts w:ascii="Tahoma" w:hAnsi="Tahoma"/>
          <w:sz w:val="22"/>
          <w:szCs w:val="22"/>
        </w:rPr>
        <w:t>de prestación de servicio.-</w:t>
      </w:r>
    </w:p>
    <w:p w:rsidR="002304CD" w:rsidRDefault="00AC13F9">
      <w:pPr>
        <w:pStyle w:val="Default"/>
        <w:ind w:left="567" w:right="554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Excepcionalmente, el mes de junio de 2014 vencerá conjuntamente con el mes de julio del mismo año, el día 29 de agosto de 2014.-</w:t>
      </w:r>
    </w:p>
    <w:p w:rsidR="002304CD" w:rsidRDefault="00AC13F9">
      <w:pPr>
        <w:pStyle w:val="Default"/>
        <w:ind w:left="567" w:right="554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La liquidación de las expensas será remitida por vía postal o electrónica a cada usuario.-</w:t>
      </w:r>
    </w:p>
    <w:p w:rsidR="002304CD" w:rsidRDefault="002304CD">
      <w:pPr>
        <w:pStyle w:val="Default"/>
        <w:ind w:left="567" w:right="554"/>
        <w:jc w:val="both"/>
        <w:rPr>
          <w:rFonts w:ascii="Tahoma" w:hAnsi="Tahoma"/>
          <w:sz w:val="22"/>
          <w:szCs w:val="22"/>
        </w:rPr>
      </w:pPr>
    </w:p>
    <w:p w:rsidR="002304CD" w:rsidRDefault="00AC13F9">
      <w:pPr>
        <w:pStyle w:val="Standard"/>
        <w:overflowPunct/>
        <w:ind w:left="567" w:right="554"/>
        <w:textAlignment w:val="auto"/>
      </w:pPr>
      <w:r>
        <w:rPr>
          <w:rFonts w:ascii="Tahoma" w:hAnsi="Tahoma" w:cs="Tahoma"/>
          <w:b/>
          <w:sz w:val="22"/>
          <w:szCs w:val="22"/>
        </w:rPr>
        <w:t>Artícul</w:t>
      </w:r>
      <w:r>
        <w:rPr>
          <w:rFonts w:ascii="Tahoma" w:hAnsi="Tahoma" w:cs="Tahoma"/>
          <w:b/>
          <w:sz w:val="22"/>
          <w:szCs w:val="22"/>
        </w:rPr>
        <w:t xml:space="preserve">o 5º.- </w:t>
      </w:r>
      <w:r>
        <w:rPr>
          <w:rFonts w:ascii="Tahoma" w:hAnsi="Tahoma" w:cs="Tahoma"/>
          <w:sz w:val="22"/>
          <w:szCs w:val="22"/>
        </w:rPr>
        <w:t xml:space="preserve">Los pagos deberán efectuarse en la Cuenta Corriente de Banco de La Pampa SEM Nº 1095/7 de Rentas Generales de la Provincia, mediante deposito o transferencia, que deberá posteriormente ser acreditado </w:t>
      </w:r>
      <w:r>
        <w:rPr>
          <w:rFonts w:ascii="Tahoma" w:hAnsi="Tahoma"/>
          <w:sz w:val="22"/>
          <w:szCs w:val="22"/>
        </w:rPr>
        <w:t>ante la Dirección de Industria.-</w:t>
      </w:r>
    </w:p>
    <w:p w:rsidR="002304CD" w:rsidRDefault="00AC13F9">
      <w:pPr>
        <w:pStyle w:val="Default"/>
        <w:ind w:left="567" w:right="554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La falta de acre</w:t>
      </w:r>
      <w:r>
        <w:rPr>
          <w:rFonts w:ascii="Tahoma" w:hAnsi="Tahoma"/>
          <w:sz w:val="22"/>
          <w:szCs w:val="22"/>
        </w:rPr>
        <w:t>ditación imposibilitara la imputación del pago correspondiente, lo que implicara que se considere como no cumplida la obligación.-</w:t>
      </w:r>
    </w:p>
    <w:p w:rsidR="002304CD" w:rsidRDefault="00AC13F9">
      <w:pPr>
        <w:pStyle w:val="Default"/>
        <w:ind w:left="567" w:right="554"/>
        <w:jc w:val="both"/>
      </w:pPr>
      <w:r>
        <w:rPr>
          <w:rFonts w:ascii="Tahoma" w:hAnsi="Tahoma"/>
          <w:sz w:val="22"/>
          <w:szCs w:val="22"/>
        </w:rPr>
        <w:t>La mora en el pago, devengará un interés resarcitorio igual al fijado por el Ministerio de Hacienda y Finanzas de la Provinci</w:t>
      </w:r>
      <w:r>
        <w:rPr>
          <w:rFonts w:ascii="Tahoma" w:hAnsi="Tahoma"/>
          <w:sz w:val="22"/>
          <w:szCs w:val="22"/>
        </w:rPr>
        <w:t>a para la percepción de tributos provinciales, según lo establecido en el Código Fiscal (artículo 45</w:t>
      </w:r>
      <w:r>
        <w:rPr>
          <w:rStyle w:val="Refdenotaalfinal"/>
          <w:rFonts w:ascii="Tahoma" w:hAnsi="Tahoma"/>
          <w:sz w:val="22"/>
          <w:szCs w:val="22"/>
        </w:rPr>
        <w:endnoteReference w:id="1"/>
      </w:r>
      <w:r>
        <w:rPr>
          <w:rFonts w:ascii="Tahoma" w:hAnsi="Tahoma"/>
          <w:sz w:val="22"/>
          <w:szCs w:val="22"/>
        </w:rPr>
        <w:t>).-</w:t>
      </w:r>
    </w:p>
    <w:p w:rsidR="002304CD" w:rsidRDefault="002304CD">
      <w:pPr>
        <w:pStyle w:val="Default"/>
        <w:ind w:left="567" w:right="554"/>
        <w:jc w:val="both"/>
        <w:rPr>
          <w:rFonts w:ascii="Tahoma" w:hAnsi="Tahoma"/>
          <w:sz w:val="22"/>
          <w:szCs w:val="22"/>
        </w:rPr>
      </w:pPr>
    </w:p>
    <w:p w:rsidR="002304CD" w:rsidRDefault="00AC13F9">
      <w:pPr>
        <w:pStyle w:val="Standard"/>
        <w:overflowPunct/>
        <w:ind w:left="567" w:right="554"/>
        <w:textAlignment w:val="auto"/>
      </w:pPr>
      <w:r>
        <w:rPr>
          <w:rFonts w:ascii="Tahoma" w:hAnsi="Tahoma" w:cs="Tahoma"/>
          <w:b/>
          <w:sz w:val="22"/>
          <w:szCs w:val="22"/>
        </w:rPr>
        <w:t xml:space="preserve">Artículo 6º.- </w:t>
      </w:r>
      <w:r>
        <w:rPr>
          <w:rFonts w:ascii="Tahoma" w:hAnsi="Tahoma" w:cs="Tahoma"/>
          <w:sz w:val="22"/>
          <w:szCs w:val="22"/>
        </w:rPr>
        <w:t>Verificado el TERCER (3º) incumplimiento consecutivo o alternado al pago de las expensas, se intimará por medio fehaciente, y ante la falta de pago, se generará con la liquidación que efectué la Dirección de Industria, la correspondiente Bole</w:t>
      </w:r>
      <w:r>
        <w:rPr>
          <w:rFonts w:ascii="Tahoma" w:hAnsi="Tahoma" w:cs="Tahoma"/>
          <w:sz w:val="22"/>
          <w:szCs w:val="22"/>
        </w:rPr>
        <w:t>ta de Deuda por ante el Contador General de la Provincia, dando intervención posteriormente a Fiscalía de Estado de la Provincia para el cobro por vía de apremio.-</w:t>
      </w:r>
    </w:p>
    <w:p w:rsidR="002304CD" w:rsidRDefault="00AC13F9">
      <w:pPr>
        <w:pStyle w:val="Standard"/>
        <w:overflowPunct/>
        <w:ind w:left="567" w:right="554"/>
        <w:textAlignment w:val="auto"/>
      </w:pPr>
      <w:r>
        <w:rPr>
          <w:rFonts w:ascii="Tahoma" w:hAnsi="Tahoma" w:cs="Tahoma"/>
          <w:sz w:val="22"/>
          <w:szCs w:val="22"/>
        </w:rPr>
        <w:t>Desde la emisión de la boleta de deuda, se devengarán intereses punitorios, que serán idénti</w:t>
      </w:r>
      <w:r>
        <w:rPr>
          <w:rFonts w:ascii="Tahoma" w:hAnsi="Tahoma" w:cs="Tahoma"/>
          <w:sz w:val="22"/>
          <w:szCs w:val="22"/>
        </w:rPr>
        <w:t>cos a los que cobre la Dirección General de Rentas de la Provincia, según lo establecido en el Código Fiscal (artículo 105</w:t>
      </w:r>
      <w:r>
        <w:rPr>
          <w:rStyle w:val="Refdenotaalfinal"/>
          <w:rFonts w:ascii="Tahoma" w:hAnsi="Tahoma" w:cs="Tahoma"/>
          <w:sz w:val="22"/>
          <w:szCs w:val="22"/>
        </w:rPr>
        <w:endnoteReference w:id="2"/>
      </w:r>
      <w:r>
        <w:rPr>
          <w:rFonts w:ascii="Tahoma" w:hAnsi="Tahoma" w:cs="Tahoma"/>
          <w:sz w:val="22"/>
          <w:szCs w:val="22"/>
        </w:rPr>
        <w:t>).-</w:t>
      </w:r>
    </w:p>
    <w:sectPr w:rsidR="002304CD">
      <w:headerReference w:type="default" r:id="rId9"/>
      <w:pgSz w:w="11906" w:h="16838"/>
      <w:pgMar w:top="1438" w:right="714" w:bottom="203" w:left="1077" w:header="3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C13F9">
      <w:r>
        <w:separator/>
      </w:r>
    </w:p>
  </w:endnote>
  <w:endnote w:type="continuationSeparator" w:id="0">
    <w:p w:rsidR="00000000" w:rsidRDefault="00AC13F9">
      <w:r>
        <w:continuationSeparator/>
      </w:r>
    </w:p>
  </w:endnote>
  <w:endnote w:id="1">
    <w:p w:rsidR="002304CD" w:rsidRDefault="00AC13F9">
      <w:pPr>
        <w:pStyle w:val="Textonotaalfinal"/>
      </w:pPr>
      <w:r>
        <w:rPr>
          <w:rStyle w:val="Refdenotaalfinal"/>
        </w:rPr>
        <w:endnoteRef/>
      </w:r>
      <w:r>
        <w:t xml:space="preserve"> Nota de Redacción: </w:t>
      </w:r>
      <w:hyperlink r:id="rId1" w:history="1">
        <w:r>
          <w:rPr>
            <w:rStyle w:val="Hipervnculo"/>
          </w:rPr>
          <w:t>Decreto Nº 127/2018</w:t>
        </w:r>
      </w:hyperlink>
      <w:r>
        <w:t>- Código Fiscal –</w:t>
      </w:r>
      <w:proofErr w:type="spellStart"/>
      <w:r>
        <w:t>t.o</w:t>
      </w:r>
      <w:proofErr w:type="spellEnd"/>
      <w:r>
        <w:t xml:space="preserve">. 2018-. </w:t>
      </w:r>
    </w:p>
  </w:endnote>
  <w:endnote w:id="2">
    <w:p w:rsidR="002304CD" w:rsidRDefault="00AC13F9">
      <w:pPr>
        <w:pStyle w:val="Textonotaalfinal"/>
      </w:pPr>
      <w:r>
        <w:rPr>
          <w:rStyle w:val="Refdenotaalfinal"/>
        </w:rPr>
        <w:endnoteRef/>
      </w:r>
      <w:r>
        <w:t xml:space="preserve"> Nota de Redacción: Se corresponde con el artículo 104 del </w:t>
      </w:r>
      <w:hyperlink r:id="rId2" w:history="1">
        <w:r>
          <w:rPr>
            <w:rStyle w:val="Hipervnculo"/>
          </w:rPr>
          <w:t>Decreto Nº 127/2018</w:t>
        </w:r>
      </w:hyperlink>
      <w:r>
        <w:t>- Código Fiscal –</w:t>
      </w:r>
      <w:proofErr w:type="spellStart"/>
      <w:r>
        <w:t>t.o</w:t>
      </w:r>
      <w:proofErr w:type="spellEnd"/>
      <w:r>
        <w:t>. 2018-.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C13F9">
      <w:r>
        <w:rPr>
          <w:color w:val="000000"/>
        </w:rPr>
        <w:separator/>
      </w:r>
    </w:p>
  </w:footnote>
  <w:footnote w:type="continuationSeparator" w:id="0">
    <w:p w:rsidR="00000000" w:rsidRDefault="00AC1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36A" w:rsidRDefault="00AC13F9">
    <w:pPr>
      <w:pStyle w:val="Encabezado"/>
      <w:rPr>
        <w:rFonts w:ascii="Monotype Corsiva" w:hAnsi="Monotype Corsiva" w:cs="Monotype Corsiva"/>
        <w:sz w:val="40"/>
      </w:rPr>
    </w:pPr>
    <w:r>
      <w:rPr>
        <w:rFonts w:ascii="Monotype Corsiva" w:hAnsi="Monotype Corsiva" w:cs="Monotype Corsiva"/>
        <w:sz w:val="40"/>
      </w:rPr>
      <w:t>Tribunal de Cuentas  de la  Provincia de La Pampa – Digesto Interno</w:t>
    </w:r>
  </w:p>
  <w:p w:rsidR="00B0736A" w:rsidRDefault="00AC13F9">
    <w:pPr>
      <w:pStyle w:val="Piedepgina"/>
      <w:tabs>
        <w:tab w:val="clear" w:pos="8838"/>
      </w:tabs>
      <w:ind w:right="99"/>
      <w:rPr>
        <w:rFonts w:ascii="Arial" w:hAnsi="Arial" w:cs="Arial"/>
        <w:i/>
        <w:iCs/>
        <w:sz w:val="16"/>
      </w:rPr>
    </w:pPr>
    <w:r>
      <w:rPr>
        <w:rFonts w:ascii="Arial" w:hAnsi="Arial" w:cs="Arial"/>
        <w:i/>
        <w:iCs/>
        <w:sz w:val="16"/>
      </w:rPr>
      <w:t>Sistema de Gestión de Calidad Certificado por IRAM – Norma IRAM-ISO 9001</w:t>
    </w:r>
  </w:p>
  <w:p w:rsidR="00B0736A" w:rsidRDefault="00AC13F9">
    <w:pPr>
      <w:pStyle w:val="Piedepgina"/>
      <w:pBdr>
        <w:bottom w:val="single" w:sz="4" w:space="1" w:color="000000"/>
      </w:pBdr>
      <w:tabs>
        <w:tab w:val="clear" w:pos="4419"/>
        <w:tab w:val="clear" w:pos="8838"/>
        <w:tab w:val="left" w:pos="8453"/>
      </w:tabs>
      <w:ind w:right="99"/>
    </w:pPr>
    <w:r>
      <w:rPr>
        <w:rFonts w:ascii="Arial" w:hAnsi="Arial" w:cs="Arial"/>
        <w:i/>
        <w:iCs/>
        <w:sz w:val="16"/>
      </w:rPr>
      <w:tab/>
    </w:r>
    <w:r>
      <w:rPr>
        <w:rStyle w:val="Nmerodepgina"/>
      </w:rPr>
      <w:tab/>
      <w:t xml:space="preserve">-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 xml:space="preserve"> -</w:t>
    </w:r>
  </w:p>
  <w:p w:rsidR="00B0736A" w:rsidRDefault="00AC13F9">
    <w:pPr>
      <w:pStyle w:val="Piedepgina"/>
      <w:tabs>
        <w:tab w:val="clear" w:pos="8838"/>
      </w:tabs>
      <w:ind w:right="99"/>
      <w:rPr>
        <w:rFonts w:ascii="Arial" w:hAnsi="Arial" w:cs="Arial"/>
        <w:i/>
        <w:iCs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B1C19"/>
    <w:multiLevelType w:val="multilevel"/>
    <w:tmpl w:val="5DF26C44"/>
    <w:styleLink w:val="WW8Num2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2AA24D84"/>
    <w:multiLevelType w:val="multilevel"/>
    <w:tmpl w:val="20DCF28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65AF46A4"/>
    <w:multiLevelType w:val="multilevel"/>
    <w:tmpl w:val="94EEF7C2"/>
    <w:styleLink w:val="WWNum1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5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304CD"/>
    <w:rsid w:val="002304CD"/>
    <w:rsid w:val="00AC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tulo2">
    <w:name w:val="heading 2"/>
    <w:basedOn w:val="Standard"/>
    <w:next w:val="Standard"/>
    <w:pPr>
      <w:keepNext/>
      <w:outlineLvl w:val="1"/>
    </w:pPr>
    <w:rPr>
      <w:b/>
      <w:bCs/>
      <w:sz w:val="32"/>
    </w:rPr>
  </w:style>
  <w:style w:type="paragraph" w:styleId="Ttulo3">
    <w:name w:val="heading 3"/>
    <w:basedOn w:val="Standard"/>
    <w:next w:val="Standard"/>
    <w:pPr>
      <w:keepNext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paragraph" w:styleId="Ttulo4">
    <w:name w:val="heading 4"/>
    <w:basedOn w:val="Standard"/>
    <w:next w:val="Standard"/>
    <w:pPr>
      <w:keepNext/>
      <w:outlineLvl w:val="3"/>
    </w:pPr>
    <w:rPr>
      <w:rFonts w:ascii="Tahoma" w:hAnsi="Tahoma" w:cs="Tahoma"/>
      <w:b/>
      <w:bCs/>
      <w:iCs/>
      <w:sz w:val="22"/>
      <w:szCs w:val="22"/>
    </w:rPr>
  </w:style>
  <w:style w:type="paragraph" w:styleId="Ttulo5">
    <w:name w:val="heading 5"/>
    <w:basedOn w:val="Standard"/>
    <w:next w:val="Standard"/>
    <w:pPr>
      <w:keepNext/>
      <w:spacing w:after="120"/>
      <w:outlineLvl w:val="4"/>
    </w:pPr>
    <w:rPr>
      <w:rFonts w:ascii="Tahoma" w:hAnsi="Tahoma" w:cs="Tahoma"/>
      <w:b/>
      <w:bCs/>
      <w:i/>
      <w:sz w:val="22"/>
      <w:szCs w:val="22"/>
    </w:rPr>
  </w:style>
  <w:style w:type="paragraph" w:styleId="Ttulo6">
    <w:name w:val="heading 6"/>
    <w:basedOn w:val="Standard"/>
    <w:next w:val="Standard"/>
    <w:pPr>
      <w:keepNext/>
      <w:suppressAutoHyphens/>
      <w:spacing w:line="360" w:lineRule="auto"/>
      <w:jc w:val="center"/>
      <w:outlineLvl w:val="5"/>
    </w:pPr>
    <w:rPr>
      <w:rFonts w:ascii="Tahoma" w:hAnsi="Tahoma" w:cs="Tahoma"/>
      <w:b/>
      <w:bCs/>
      <w:sz w:val="28"/>
    </w:rPr>
  </w:style>
  <w:style w:type="paragraph" w:styleId="Ttulo7">
    <w:name w:val="heading 7"/>
    <w:basedOn w:val="Standard"/>
    <w:next w:val="Standard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Standard"/>
    <w:next w:val="Standard"/>
    <w:pPr>
      <w:keepNext/>
      <w:jc w:val="right"/>
      <w:outlineLvl w:val="7"/>
    </w:pPr>
    <w:rPr>
      <w:rFonts w:ascii="Tahoma" w:hAnsi="Tahoma" w:cs="Tahoma"/>
      <w:i/>
      <w:sz w:val="22"/>
      <w:szCs w:val="22"/>
    </w:rPr>
  </w:style>
  <w:style w:type="paragraph" w:styleId="Ttulo9">
    <w:name w:val="heading 9"/>
    <w:basedOn w:val="Standard"/>
    <w:next w:val="Standard"/>
    <w:pPr>
      <w:keepNext/>
      <w:overflowPunct/>
      <w:autoSpaceDE/>
      <w:textAlignment w:val="auto"/>
      <w:outlineLvl w:val="8"/>
    </w:pPr>
    <w:rPr>
      <w:rFonts w:ascii="Tahoma" w:hAnsi="Tahoma" w:cs="Tahoma"/>
      <w:bCs/>
      <w:i/>
      <w:i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overflowPunct w:val="0"/>
      <w:autoSpaceDE w:val="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Encabezado1"/>
    <w:next w:val="Textbody"/>
    <w:rPr>
      <w:b/>
      <w:bCs/>
      <w:sz w:val="56"/>
      <w:szCs w:val="56"/>
    </w:rPr>
  </w:style>
  <w:style w:type="paragraph" w:customStyle="1" w:styleId="Textbody">
    <w:name w:val="Text body"/>
    <w:basedOn w:val="Standard"/>
    <w:rPr>
      <w:rFonts w:ascii="Tahoma" w:hAnsi="Tahoma" w:cs="Tahoma"/>
      <w:sz w:val="22"/>
      <w:szCs w:val="22"/>
    </w:rPr>
  </w:style>
  <w:style w:type="paragraph" w:styleId="Lista">
    <w:name w:val="List"/>
    <w:basedOn w:val="Textbody"/>
    <w:rPr>
      <w:rFonts w:cs="Mangal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Encabezado1">
    <w:name w:val="Encabezado1"/>
    <w:basedOn w:val="Standard"/>
    <w:next w:val="Textbody"/>
    <w:pPr>
      <w:overflowPunct/>
      <w:autoSpaceDE/>
      <w:jc w:val="center"/>
      <w:textAlignment w:val="auto"/>
    </w:pPr>
    <w:rPr>
      <w:sz w:val="28"/>
      <w:u w:val="single"/>
    </w:rPr>
  </w:style>
  <w:style w:type="paragraph" w:styleId="Piedepgina">
    <w:name w:val="footer"/>
    <w:basedOn w:val="Standard"/>
    <w:pPr>
      <w:tabs>
        <w:tab w:val="center" w:pos="4419"/>
        <w:tab w:val="right" w:pos="8838"/>
      </w:tabs>
    </w:pPr>
  </w:style>
  <w:style w:type="paragraph" w:styleId="Encabezado">
    <w:name w:val="header"/>
    <w:basedOn w:val="Standard"/>
    <w:pPr>
      <w:tabs>
        <w:tab w:val="center" w:pos="4419"/>
        <w:tab w:val="right" w:pos="8838"/>
      </w:tabs>
    </w:pPr>
  </w:style>
  <w:style w:type="paragraph" w:customStyle="1" w:styleId="Textoindependiente31">
    <w:name w:val="Texto independiente 31"/>
    <w:basedOn w:val="Standard"/>
    <w:rPr>
      <w:rFonts w:ascii="Arial" w:hAnsi="Arial" w:cs="Arial"/>
      <w:szCs w:val="18"/>
    </w:rPr>
  </w:style>
  <w:style w:type="paragraph" w:customStyle="1" w:styleId="Footnote">
    <w:name w:val="Footnote"/>
    <w:basedOn w:val="Standard"/>
  </w:style>
  <w:style w:type="paragraph" w:customStyle="1" w:styleId="Textoindependiente21">
    <w:name w:val="Texto independiente 21"/>
    <w:basedOn w:val="Standard"/>
    <w:pPr>
      <w:tabs>
        <w:tab w:val="left" w:pos="900"/>
      </w:tabs>
      <w:suppressAutoHyphens/>
      <w:jc w:val="left"/>
    </w:pPr>
    <w:rPr>
      <w:rFonts w:ascii="Tahoma" w:hAnsi="Tahoma" w:cs="Tahoma"/>
      <w:bCs/>
      <w:sz w:val="22"/>
      <w:szCs w:val="28"/>
    </w:rPr>
  </w:style>
  <w:style w:type="paragraph" w:styleId="Textoindependiente2">
    <w:name w:val="Body Text 2"/>
    <w:basedOn w:val="Standard"/>
    <w:pPr>
      <w:widowControl w:val="0"/>
      <w:spacing w:before="120" w:after="120" w:line="312" w:lineRule="auto"/>
      <w:ind w:firstLine="567"/>
    </w:pPr>
    <w:rPr>
      <w:rFonts w:ascii="Arial" w:hAnsi="Arial" w:cs="Arial"/>
      <w:sz w:val="24"/>
    </w:rPr>
  </w:style>
  <w:style w:type="paragraph" w:customStyle="1" w:styleId="nornal">
    <w:name w:val="nornal"/>
    <w:basedOn w:val="Standard"/>
    <w:rPr>
      <w:sz w:val="18"/>
    </w:rPr>
  </w:style>
  <w:style w:type="paragraph" w:customStyle="1" w:styleId="Contents1">
    <w:name w:val="Contents 1"/>
    <w:basedOn w:val="Standard"/>
    <w:next w:val="Standard"/>
    <w:pPr>
      <w:overflowPunct/>
      <w:autoSpaceDE/>
      <w:spacing w:before="120"/>
      <w:jc w:val="left"/>
      <w:textAlignment w:val="auto"/>
    </w:pPr>
    <w:rPr>
      <w:b/>
      <w:bCs/>
      <w:i/>
      <w:iCs/>
      <w:sz w:val="24"/>
      <w:szCs w:val="24"/>
    </w:rPr>
  </w:style>
  <w:style w:type="paragraph" w:customStyle="1" w:styleId="Contents2">
    <w:name w:val="Contents 2"/>
    <w:basedOn w:val="Standard"/>
    <w:next w:val="Standard"/>
    <w:pPr>
      <w:overflowPunct/>
      <w:autoSpaceDE/>
      <w:spacing w:before="120"/>
      <w:ind w:left="240"/>
      <w:jc w:val="left"/>
      <w:textAlignment w:val="auto"/>
    </w:pPr>
    <w:rPr>
      <w:b/>
      <w:bCs/>
      <w:sz w:val="22"/>
      <w:szCs w:val="22"/>
    </w:rPr>
  </w:style>
  <w:style w:type="paragraph" w:customStyle="1" w:styleId="Contents3">
    <w:name w:val="Contents 3"/>
    <w:basedOn w:val="Standard"/>
    <w:next w:val="Standard"/>
    <w:pPr>
      <w:overflowPunct/>
      <w:autoSpaceDE/>
      <w:ind w:left="480"/>
      <w:jc w:val="left"/>
      <w:textAlignment w:val="auto"/>
    </w:pPr>
  </w:style>
  <w:style w:type="paragraph" w:customStyle="1" w:styleId="WW-BodyText21">
    <w:name w:val="WW-Body Text 21"/>
    <w:basedOn w:val="Standard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uppressAutoHyphens/>
      <w:overflowPunct/>
      <w:autoSpaceDE/>
      <w:jc w:val="center"/>
      <w:textAlignment w:val="auto"/>
    </w:pPr>
    <w:rPr>
      <w:rFonts w:ascii="Arial" w:eastAsia="Arial Unicode MS" w:hAnsi="Arial" w:cs="Arial"/>
      <w:b/>
      <w:sz w:val="24"/>
    </w:rPr>
  </w:style>
  <w:style w:type="paragraph" w:customStyle="1" w:styleId="Default">
    <w:name w:val="Default"/>
    <w:pPr>
      <w:widowControl/>
      <w:suppressAutoHyphens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  <w:suppressAutoHyphens/>
      <w:overflowPunct/>
      <w:autoSpaceDE/>
      <w:jc w:val="left"/>
      <w:textAlignment w:val="auto"/>
    </w:pPr>
    <w:rPr>
      <w:sz w:val="24"/>
      <w:szCs w:val="24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Sangra2detindependiente1">
    <w:name w:val="Sangría 2 de t. independiente1"/>
    <w:basedOn w:val="Standard"/>
    <w:pPr>
      <w:spacing w:after="120" w:line="480" w:lineRule="auto"/>
      <w:ind w:left="283"/>
    </w:pPr>
  </w:style>
  <w:style w:type="paragraph" w:customStyle="1" w:styleId="parrafoinformefinal">
    <w:name w:val="parrafo informe final"/>
    <w:basedOn w:val="Standard"/>
    <w:pPr>
      <w:overflowPunct/>
      <w:autoSpaceDE/>
      <w:spacing w:before="120"/>
      <w:ind w:firstLine="567"/>
      <w:textAlignment w:val="auto"/>
    </w:pPr>
    <w:rPr>
      <w:sz w:val="24"/>
      <w:szCs w:val="24"/>
    </w:rPr>
  </w:style>
  <w:style w:type="paragraph" w:customStyle="1" w:styleId="Textoindependienteprimerasangra1">
    <w:name w:val="Texto independiente primera sangría1"/>
    <w:basedOn w:val="Textbody"/>
    <w:pPr>
      <w:spacing w:after="120"/>
      <w:ind w:firstLine="210"/>
      <w:jc w:val="left"/>
    </w:pPr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Standard"/>
    <w:pPr>
      <w:overflowPunct/>
      <w:autoSpaceDE/>
      <w:spacing w:before="280" w:after="280"/>
      <w:jc w:val="left"/>
      <w:textAlignment w:val="auto"/>
    </w:pPr>
    <w:rPr>
      <w:sz w:val="24"/>
      <w:szCs w:val="24"/>
    </w:rPr>
  </w:style>
  <w:style w:type="paragraph" w:customStyle="1" w:styleId="Predeterminado">
    <w:name w:val="Predeterminado"/>
    <w:pPr>
      <w:suppressAutoHyphens/>
      <w:autoSpaceDE w:val="0"/>
    </w:pPr>
    <w:rPr>
      <w:rFonts w:ascii="Courier" w:eastAsia="Times New Roman" w:hAnsi="Courier" w:cs="Courier"/>
      <w:color w:val="000000"/>
      <w:lang w:bidi="ar-SA"/>
    </w:rPr>
  </w:style>
  <w:style w:type="paragraph" w:customStyle="1" w:styleId="Textosinformato1">
    <w:name w:val="Texto sin formato1"/>
    <w:basedOn w:val="Standard"/>
    <w:pPr>
      <w:overflowPunct/>
      <w:autoSpaceDE/>
      <w:jc w:val="left"/>
      <w:textAlignment w:val="auto"/>
    </w:pPr>
    <w:rPr>
      <w:rFonts w:ascii="Courier New" w:hAnsi="Courier New" w:cs="Courier New"/>
    </w:rPr>
  </w:style>
  <w:style w:type="paragraph" w:customStyle="1" w:styleId="Endnote">
    <w:name w:val="Endnote"/>
    <w:basedOn w:val="Standard"/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ubttulo">
    <w:name w:val="Subtitle"/>
    <w:basedOn w:val="Encabezado1"/>
    <w:next w:val="Textbody"/>
    <w:pPr>
      <w:spacing w:before="60" w:after="120"/>
    </w:pPr>
    <w:rPr>
      <w:sz w:val="36"/>
      <w:szCs w:val="36"/>
    </w:rPr>
  </w:style>
  <w:style w:type="paragraph" w:styleId="Ttulo">
    <w:name w:val="Title"/>
    <w:basedOn w:val="Heading"/>
    <w:next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  <w:rPr>
      <w:sz w:val="24"/>
    </w:rPr>
  </w:style>
  <w:style w:type="character" w:customStyle="1" w:styleId="WW8Num11z0">
    <w:name w:val="WW8Num11z0"/>
  </w:style>
  <w:style w:type="character" w:customStyle="1" w:styleId="WW8Num12z0">
    <w:name w:val="WW8Num12z0"/>
    <w:rPr>
      <w:sz w:val="24"/>
    </w:rPr>
  </w:style>
  <w:style w:type="character" w:customStyle="1" w:styleId="WW8Num13z0">
    <w:name w:val="WW8Num13z0"/>
  </w:style>
  <w:style w:type="character" w:customStyle="1" w:styleId="WW8Num13z1">
    <w:name w:val="WW8Num13z1"/>
    <w:rPr>
      <w:sz w:val="24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  <w:rPr>
      <w:sz w:val="24"/>
    </w:rPr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StrongEmphasis">
    <w:name w:val="Strong Emphasis"/>
    <w:rPr>
      <w:b/>
      <w:bCs/>
    </w:rPr>
  </w:style>
  <w:style w:type="character" w:styleId="nfasis">
    <w:name w:val="Emphasis"/>
    <w:rPr>
      <w:i/>
      <w:iCs/>
    </w:rPr>
  </w:style>
  <w:style w:type="character" w:customStyle="1" w:styleId="TextonotaalfinalCar">
    <w:name w:val="Texto nota al final Car"/>
    <w:basedOn w:val="Fuentedeprrafopredeter1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TextoindependienteCar">
    <w:name w:val="Texto independiente Car"/>
    <w:rPr>
      <w:rFonts w:ascii="Tahoma" w:hAnsi="Tahoma" w:cs="Tahoma"/>
      <w:sz w:val="22"/>
      <w:szCs w:val="22"/>
    </w:rPr>
  </w:style>
  <w:style w:type="character" w:styleId="Refdenotaalpie">
    <w:name w:val="footnote reference"/>
    <w:rPr>
      <w:position w:val="0"/>
      <w:vertAlign w:val="superscript"/>
    </w:rPr>
  </w:style>
  <w:style w:type="character" w:styleId="Refdenotaalfinal">
    <w:name w:val="endnote reference"/>
    <w:rPr>
      <w:position w:val="0"/>
      <w:vertAlign w:val="superscript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notaalfinal">
    <w:name w:val="endnote text"/>
    <w:basedOn w:val="Normal"/>
    <w:rPr>
      <w:sz w:val="20"/>
      <w:szCs w:val="18"/>
    </w:rPr>
  </w:style>
  <w:style w:type="character" w:customStyle="1" w:styleId="TextonotaalfinalCar1">
    <w:name w:val="Texto nota al final Car1"/>
    <w:basedOn w:val="Fuentedeprrafopredeter"/>
    <w:rPr>
      <w:sz w:val="20"/>
      <w:szCs w:val="18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Num1">
    <w:name w:val="WWNum1"/>
    <w:basedOn w:val="Sinlista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tulo2">
    <w:name w:val="heading 2"/>
    <w:basedOn w:val="Standard"/>
    <w:next w:val="Standard"/>
    <w:pPr>
      <w:keepNext/>
      <w:outlineLvl w:val="1"/>
    </w:pPr>
    <w:rPr>
      <w:b/>
      <w:bCs/>
      <w:sz w:val="32"/>
    </w:rPr>
  </w:style>
  <w:style w:type="paragraph" w:styleId="Ttulo3">
    <w:name w:val="heading 3"/>
    <w:basedOn w:val="Standard"/>
    <w:next w:val="Standard"/>
    <w:pPr>
      <w:keepNext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paragraph" w:styleId="Ttulo4">
    <w:name w:val="heading 4"/>
    <w:basedOn w:val="Standard"/>
    <w:next w:val="Standard"/>
    <w:pPr>
      <w:keepNext/>
      <w:outlineLvl w:val="3"/>
    </w:pPr>
    <w:rPr>
      <w:rFonts w:ascii="Tahoma" w:hAnsi="Tahoma" w:cs="Tahoma"/>
      <w:b/>
      <w:bCs/>
      <w:iCs/>
      <w:sz w:val="22"/>
      <w:szCs w:val="22"/>
    </w:rPr>
  </w:style>
  <w:style w:type="paragraph" w:styleId="Ttulo5">
    <w:name w:val="heading 5"/>
    <w:basedOn w:val="Standard"/>
    <w:next w:val="Standard"/>
    <w:pPr>
      <w:keepNext/>
      <w:spacing w:after="120"/>
      <w:outlineLvl w:val="4"/>
    </w:pPr>
    <w:rPr>
      <w:rFonts w:ascii="Tahoma" w:hAnsi="Tahoma" w:cs="Tahoma"/>
      <w:b/>
      <w:bCs/>
      <w:i/>
      <w:sz w:val="22"/>
      <w:szCs w:val="22"/>
    </w:rPr>
  </w:style>
  <w:style w:type="paragraph" w:styleId="Ttulo6">
    <w:name w:val="heading 6"/>
    <w:basedOn w:val="Standard"/>
    <w:next w:val="Standard"/>
    <w:pPr>
      <w:keepNext/>
      <w:suppressAutoHyphens/>
      <w:spacing w:line="360" w:lineRule="auto"/>
      <w:jc w:val="center"/>
      <w:outlineLvl w:val="5"/>
    </w:pPr>
    <w:rPr>
      <w:rFonts w:ascii="Tahoma" w:hAnsi="Tahoma" w:cs="Tahoma"/>
      <w:b/>
      <w:bCs/>
      <w:sz w:val="28"/>
    </w:rPr>
  </w:style>
  <w:style w:type="paragraph" w:styleId="Ttulo7">
    <w:name w:val="heading 7"/>
    <w:basedOn w:val="Standard"/>
    <w:next w:val="Standard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Standard"/>
    <w:next w:val="Standard"/>
    <w:pPr>
      <w:keepNext/>
      <w:jc w:val="right"/>
      <w:outlineLvl w:val="7"/>
    </w:pPr>
    <w:rPr>
      <w:rFonts w:ascii="Tahoma" w:hAnsi="Tahoma" w:cs="Tahoma"/>
      <w:i/>
      <w:sz w:val="22"/>
      <w:szCs w:val="22"/>
    </w:rPr>
  </w:style>
  <w:style w:type="paragraph" w:styleId="Ttulo9">
    <w:name w:val="heading 9"/>
    <w:basedOn w:val="Standard"/>
    <w:next w:val="Standard"/>
    <w:pPr>
      <w:keepNext/>
      <w:overflowPunct/>
      <w:autoSpaceDE/>
      <w:textAlignment w:val="auto"/>
      <w:outlineLvl w:val="8"/>
    </w:pPr>
    <w:rPr>
      <w:rFonts w:ascii="Tahoma" w:hAnsi="Tahoma" w:cs="Tahoma"/>
      <w:bCs/>
      <w:i/>
      <w:i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overflowPunct w:val="0"/>
      <w:autoSpaceDE w:val="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Encabezado1"/>
    <w:next w:val="Textbody"/>
    <w:rPr>
      <w:b/>
      <w:bCs/>
      <w:sz w:val="56"/>
      <w:szCs w:val="56"/>
    </w:rPr>
  </w:style>
  <w:style w:type="paragraph" w:customStyle="1" w:styleId="Textbody">
    <w:name w:val="Text body"/>
    <w:basedOn w:val="Standard"/>
    <w:rPr>
      <w:rFonts w:ascii="Tahoma" w:hAnsi="Tahoma" w:cs="Tahoma"/>
      <w:sz w:val="22"/>
      <w:szCs w:val="22"/>
    </w:rPr>
  </w:style>
  <w:style w:type="paragraph" w:styleId="Lista">
    <w:name w:val="List"/>
    <w:basedOn w:val="Textbody"/>
    <w:rPr>
      <w:rFonts w:cs="Mangal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Encabezado1">
    <w:name w:val="Encabezado1"/>
    <w:basedOn w:val="Standard"/>
    <w:next w:val="Textbody"/>
    <w:pPr>
      <w:overflowPunct/>
      <w:autoSpaceDE/>
      <w:jc w:val="center"/>
      <w:textAlignment w:val="auto"/>
    </w:pPr>
    <w:rPr>
      <w:sz w:val="28"/>
      <w:u w:val="single"/>
    </w:rPr>
  </w:style>
  <w:style w:type="paragraph" w:styleId="Piedepgina">
    <w:name w:val="footer"/>
    <w:basedOn w:val="Standard"/>
    <w:pPr>
      <w:tabs>
        <w:tab w:val="center" w:pos="4419"/>
        <w:tab w:val="right" w:pos="8838"/>
      </w:tabs>
    </w:pPr>
  </w:style>
  <w:style w:type="paragraph" w:styleId="Encabezado">
    <w:name w:val="header"/>
    <w:basedOn w:val="Standard"/>
    <w:pPr>
      <w:tabs>
        <w:tab w:val="center" w:pos="4419"/>
        <w:tab w:val="right" w:pos="8838"/>
      </w:tabs>
    </w:pPr>
  </w:style>
  <w:style w:type="paragraph" w:customStyle="1" w:styleId="Textoindependiente31">
    <w:name w:val="Texto independiente 31"/>
    <w:basedOn w:val="Standard"/>
    <w:rPr>
      <w:rFonts w:ascii="Arial" w:hAnsi="Arial" w:cs="Arial"/>
      <w:szCs w:val="18"/>
    </w:rPr>
  </w:style>
  <w:style w:type="paragraph" w:customStyle="1" w:styleId="Footnote">
    <w:name w:val="Footnote"/>
    <w:basedOn w:val="Standard"/>
  </w:style>
  <w:style w:type="paragraph" w:customStyle="1" w:styleId="Textoindependiente21">
    <w:name w:val="Texto independiente 21"/>
    <w:basedOn w:val="Standard"/>
    <w:pPr>
      <w:tabs>
        <w:tab w:val="left" w:pos="900"/>
      </w:tabs>
      <w:suppressAutoHyphens/>
      <w:jc w:val="left"/>
    </w:pPr>
    <w:rPr>
      <w:rFonts w:ascii="Tahoma" w:hAnsi="Tahoma" w:cs="Tahoma"/>
      <w:bCs/>
      <w:sz w:val="22"/>
      <w:szCs w:val="28"/>
    </w:rPr>
  </w:style>
  <w:style w:type="paragraph" w:styleId="Textoindependiente2">
    <w:name w:val="Body Text 2"/>
    <w:basedOn w:val="Standard"/>
    <w:pPr>
      <w:widowControl w:val="0"/>
      <w:spacing w:before="120" w:after="120" w:line="312" w:lineRule="auto"/>
      <w:ind w:firstLine="567"/>
    </w:pPr>
    <w:rPr>
      <w:rFonts w:ascii="Arial" w:hAnsi="Arial" w:cs="Arial"/>
      <w:sz w:val="24"/>
    </w:rPr>
  </w:style>
  <w:style w:type="paragraph" w:customStyle="1" w:styleId="nornal">
    <w:name w:val="nornal"/>
    <w:basedOn w:val="Standard"/>
    <w:rPr>
      <w:sz w:val="18"/>
    </w:rPr>
  </w:style>
  <w:style w:type="paragraph" w:customStyle="1" w:styleId="Contents1">
    <w:name w:val="Contents 1"/>
    <w:basedOn w:val="Standard"/>
    <w:next w:val="Standard"/>
    <w:pPr>
      <w:overflowPunct/>
      <w:autoSpaceDE/>
      <w:spacing w:before="120"/>
      <w:jc w:val="left"/>
      <w:textAlignment w:val="auto"/>
    </w:pPr>
    <w:rPr>
      <w:b/>
      <w:bCs/>
      <w:i/>
      <w:iCs/>
      <w:sz w:val="24"/>
      <w:szCs w:val="24"/>
    </w:rPr>
  </w:style>
  <w:style w:type="paragraph" w:customStyle="1" w:styleId="Contents2">
    <w:name w:val="Contents 2"/>
    <w:basedOn w:val="Standard"/>
    <w:next w:val="Standard"/>
    <w:pPr>
      <w:overflowPunct/>
      <w:autoSpaceDE/>
      <w:spacing w:before="120"/>
      <w:ind w:left="240"/>
      <w:jc w:val="left"/>
      <w:textAlignment w:val="auto"/>
    </w:pPr>
    <w:rPr>
      <w:b/>
      <w:bCs/>
      <w:sz w:val="22"/>
      <w:szCs w:val="22"/>
    </w:rPr>
  </w:style>
  <w:style w:type="paragraph" w:customStyle="1" w:styleId="Contents3">
    <w:name w:val="Contents 3"/>
    <w:basedOn w:val="Standard"/>
    <w:next w:val="Standard"/>
    <w:pPr>
      <w:overflowPunct/>
      <w:autoSpaceDE/>
      <w:ind w:left="480"/>
      <w:jc w:val="left"/>
      <w:textAlignment w:val="auto"/>
    </w:pPr>
  </w:style>
  <w:style w:type="paragraph" w:customStyle="1" w:styleId="WW-BodyText21">
    <w:name w:val="WW-Body Text 21"/>
    <w:basedOn w:val="Standard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uppressAutoHyphens/>
      <w:overflowPunct/>
      <w:autoSpaceDE/>
      <w:jc w:val="center"/>
      <w:textAlignment w:val="auto"/>
    </w:pPr>
    <w:rPr>
      <w:rFonts w:ascii="Arial" w:eastAsia="Arial Unicode MS" w:hAnsi="Arial" w:cs="Arial"/>
      <w:b/>
      <w:sz w:val="24"/>
    </w:rPr>
  </w:style>
  <w:style w:type="paragraph" w:customStyle="1" w:styleId="Default">
    <w:name w:val="Default"/>
    <w:pPr>
      <w:widowControl/>
      <w:suppressAutoHyphens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  <w:suppressAutoHyphens/>
      <w:overflowPunct/>
      <w:autoSpaceDE/>
      <w:jc w:val="left"/>
      <w:textAlignment w:val="auto"/>
    </w:pPr>
    <w:rPr>
      <w:sz w:val="24"/>
      <w:szCs w:val="24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Sangra2detindependiente1">
    <w:name w:val="Sangría 2 de t. independiente1"/>
    <w:basedOn w:val="Standard"/>
    <w:pPr>
      <w:spacing w:after="120" w:line="480" w:lineRule="auto"/>
      <w:ind w:left="283"/>
    </w:pPr>
  </w:style>
  <w:style w:type="paragraph" w:customStyle="1" w:styleId="parrafoinformefinal">
    <w:name w:val="parrafo informe final"/>
    <w:basedOn w:val="Standard"/>
    <w:pPr>
      <w:overflowPunct/>
      <w:autoSpaceDE/>
      <w:spacing w:before="120"/>
      <w:ind w:firstLine="567"/>
      <w:textAlignment w:val="auto"/>
    </w:pPr>
    <w:rPr>
      <w:sz w:val="24"/>
      <w:szCs w:val="24"/>
    </w:rPr>
  </w:style>
  <w:style w:type="paragraph" w:customStyle="1" w:styleId="Textoindependienteprimerasangra1">
    <w:name w:val="Texto independiente primera sangría1"/>
    <w:basedOn w:val="Textbody"/>
    <w:pPr>
      <w:spacing w:after="120"/>
      <w:ind w:firstLine="210"/>
      <w:jc w:val="left"/>
    </w:pPr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Standard"/>
    <w:pPr>
      <w:overflowPunct/>
      <w:autoSpaceDE/>
      <w:spacing w:before="280" w:after="280"/>
      <w:jc w:val="left"/>
      <w:textAlignment w:val="auto"/>
    </w:pPr>
    <w:rPr>
      <w:sz w:val="24"/>
      <w:szCs w:val="24"/>
    </w:rPr>
  </w:style>
  <w:style w:type="paragraph" w:customStyle="1" w:styleId="Predeterminado">
    <w:name w:val="Predeterminado"/>
    <w:pPr>
      <w:suppressAutoHyphens/>
      <w:autoSpaceDE w:val="0"/>
    </w:pPr>
    <w:rPr>
      <w:rFonts w:ascii="Courier" w:eastAsia="Times New Roman" w:hAnsi="Courier" w:cs="Courier"/>
      <w:color w:val="000000"/>
      <w:lang w:bidi="ar-SA"/>
    </w:rPr>
  </w:style>
  <w:style w:type="paragraph" w:customStyle="1" w:styleId="Textosinformato1">
    <w:name w:val="Texto sin formato1"/>
    <w:basedOn w:val="Standard"/>
    <w:pPr>
      <w:overflowPunct/>
      <w:autoSpaceDE/>
      <w:jc w:val="left"/>
      <w:textAlignment w:val="auto"/>
    </w:pPr>
    <w:rPr>
      <w:rFonts w:ascii="Courier New" w:hAnsi="Courier New" w:cs="Courier New"/>
    </w:rPr>
  </w:style>
  <w:style w:type="paragraph" w:customStyle="1" w:styleId="Endnote">
    <w:name w:val="Endnote"/>
    <w:basedOn w:val="Standard"/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ubttulo">
    <w:name w:val="Subtitle"/>
    <w:basedOn w:val="Encabezado1"/>
    <w:next w:val="Textbody"/>
    <w:pPr>
      <w:spacing w:before="60" w:after="120"/>
    </w:pPr>
    <w:rPr>
      <w:sz w:val="36"/>
      <w:szCs w:val="36"/>
    </w:rPr>
  </w:style>
  <w:style w:type="paragraph" w:styleId="Ttulo">
    <w:name w:val="Title"/>
    <w:basedOn w:val="Heading"/>
    <w:next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  <w:rPr>
      <w:sz w:val="24"/>
    </w:rPr>
  </w:style>
  <w:style w:type="character" w:customStyle="1" w:styleId="WW8Num11z0">
    <w:name w:val="WW8Num11z0"/>
  </w:style>
  <w:style w:type="character" w:customStyle="1" w:styleId="WW8Num12z0">
    <w:name w:val="WW8Num12z0"/>
    <w:rPr>
      <w:sz w:val="24"/>
    </w:rPr>
  </w:style>
  <w:style w:type="character" w:customStyle="1" w:styleId="WW8Num13z0">
    <w:name w:val="WW8Num13z0"/>
  </w:style>
  <w:style w:type="character" w:customStyle="1" w:styleId="WW8Num13z1">
    <w:name w:val="WW8Num13z1"/>
    <w:rPr>
      <w:sz w:val="24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  <w:rPr>
      <w:sz w:val="24"/>
    </w:rPr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StrongEmphasis">
    <w:name w:val="Strong Emphasis"/>
    <w:rPr>
      <w:b/>
      <w:bCs/>
    </w:rPr>
  </w:style>
  <w:style w:type="character" w:styleId="nfasis">
    <w:name w:val="Emphasis"/>
    <w:rPr>
      <w:i/>
      <w:iCs/>
    </w:rPr>
  </w:style>
  <w:style w:type="character" w:customStyle="1" w:styleId="TextonotaalfinalCar">
    <w:name w:val="Texto nota al final Car"/>
    <w:basedOn w:val="Fuentedeprrafopredeter1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TextoindependienteCar">
    <w:name w:val="Texto independiente Car"/>
    <w:rPr>
      <w:rFonts w:ascii="Tahoma" w:hAnsi="Tahoma" w:cs="Tahoma"/>
      <w:sz w:val="22"/>
      <w:szCs w:val="22"/>
    </w:rPr>
  </w:style>
  <w:style w:type="character" w:styleId="Refdenotaalpie">
    <w:name w:val="footnote reference"/>
    <w:rPr>
      <w:position w:val="0"/>
      <w:vertAlign w:val="superscript"/>
    </w:rPr>
  </w:style>
  <w:style w:type="character" w:styleId="Refdenotaalfinal">
    <w:name w:val="endnote reference"/>
    <w:rPr>
      <w:position w:val="0"/>
      <w:vertAlign w:val="superscript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notaalfinal">
    <w:name w:val="endnote text"/>
    <w:basedOn w:val="Normal"/>
    <w:rPr>
      <w:sz w:val="20"/>
      <w:szCs w:val="18"/>
    </w:rPr>
  </w:style>
  <w:style w:type="character" w:customStyle="1" w:styleId="TextonotaalfinalCar1">
    <w:name w:val="Texto nota al final Car1"/>
    <w:basedOn w:val="Fuentedeprrafopredeter"/>
    <w:rPr>
      <w:sz w:val="20"/>
      <w:szCs w:val="18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Num1">
    <w:name w:val="WWNum1"/>
    <w:basedOn w:val="Sin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ervidor5\digesto%20tribunal%20web\Otros%20Organismos\Mrio.%20de%20la%20Pccion\Resolucion%20548-2012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file:///\\Servidor5\digesto%20tribunal%20web\Decretos\Decreto%20127-2018%20-%20Codigo%20Fiscal%20T.O.%202018.html" TargetMode="External"/><Relationship Id="rId1" Type="http://schemas.openxmlformats.org/officeDocument/2006/relationships/hyperlink" Target="file:///\\Servidor5\digesto%20tribunal%20web\Decretos\Decreto%20127-2018%20-%20Codigo%20Fiscal%20T.O.%202018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CESIDA</dc:creator>
  <cp:lastModifiedBy>Marcela Berges</cp:lastModifiedBy>
  <cp:revision>2</cp:revision>
  <cp:lastPrinted>2010-07-15T09:42:00Z</cp:lastPrinted>
  <dcterms:created xsi:type="dcterms:W3CDTF">2021-11-19T14:16:00Z</dcterms:created>
  <dcterms:modified xsi:type="dcterms:W3CDTF">2021-11-19T14:16:00Z</dcterms:modified>
</cp:coreProperties>
</file>